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ind w:right="240"/>
        <w:jc w:val="right"/>
        <w:rPr>
          <w:rFonts w:hint="eastAsia" w:ascii="ＭＳ ゴシック" w:hAnsi="ＭＳ ゴシック" w:eastAsia="ＭＳ ゴシック"/>
          <w:sz w:val="24"/>
        </w:rPr>
      </w:pPr>
      <w:bookmarkStart w:id="0" w:name="_GoBack"/>
      <w:bookmarkEnd w:id="0"/>
    </w:p>
    <w:tbl>
      <w:tblPr>
        <w:tblStyle w:val="11"/>
        <w:tblW w:w="3342" w:type="dxa"/>
        <w:tblInd w:w="6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2"/>
      </w:tblGrid>
      <w:tr>
        <w:trPr>
          <w:trHeight w:val="400" w:hRule="atLeast"/>
        </w:trPr>
        <w:tc>
          <w:tcPr>
            <w:tcW w:w="33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73" w:hRule="atLeast"/>
        </w:trPr>
        <w:tc>
          <w:tcPr>
            <w:tcW w:w="33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白子町長</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　　　　　　　業（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全体に係る上昇率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5324" w:firstLineChars="22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5808" w:firstLineChars="24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主たる業種に係る売上原価</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主たる業種に係る仕入れ価格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全体に係る仕入れ価格</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③製品等価格への転嫁の状況（注４）</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主たる業種に係る転嫁の状況　Ｐ＝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主たる業種に係る売上高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62" w:hanging="86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１）本様式は、主たる事業（最近１年間の売上高等が最も大きい事業）が属する業種（主たる業種）が指定業種である場合であって、主たる業種及び申請者全体の双方が認定基準を満たす場合に使用する。</w:t>
      </w:r>
    </w:p>
    <w:p>
      <w:pPr>
        <w:pStyle w:val="0"/>
        <w:suppressAutoHyphens w:val="1"/>
        <w:spacing w:line="240" w:lineRule="exact"/>
        <w:ind w:left="862" w:hanging="862"/>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（注２）</w:t>
      </w:r>
      <w:r>
        <w:rPr>
          <w:rFonts w:hint="eastAsia" w:asciiTheme="minorEastAsia" w:hAnsiTheme="minorEastAsia" w:eastAsiaTheme="minorEastAsia"/>
          <w:color w:val="000000"/>
          <w:spacing w:val="16"/>
          <w:kern w:val="0"/>
        </w:rPr>
        <w:t>主たる事業が属する指定業種（日本標準産業分類の細分類番号と細分類業種名）を記載。</w:t>
      </w:r>
    </w:p>
    <w:p>
      <w:pPr>
        <w:pStyle w:val="0"/>
        <w:suppressAutoHyphens w:val="1"/>
        <w:spacing w:line="240" w:lineRule="exact"/>
        <w:ind w:left="862" w:hanging="86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（注３）主たる業種及び申請者全体の原油等の仕入単価、売上原価、原油等の仕入価格を記載。上昇率及び依存率が２０％以上となっていること。</w:t>
      </w:r>
    </w:p>
    <w:p>
      <w:pPr>
        <w:pStyle w:val="0"/>
        <w:suppressAutoHyphens w:val="1"/>
        <w:spacing w:line="240" w:lineRule="exact"/>
        <w:ind w:left="738" w:hanging="738"/>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（注４）主たる業種及び申請者全体の原油等の仕入価格、売上高を記載。Ｐ＞０となっていること。</w:t>
      </w:r>
    </w:p>
    <w:p>
      <w:pPr>
        <w:pStyle w:val="0"/>
        <w:suppressAutoHyphens w:val="1"/>
        <w:spacing w:line="240" w:lineRule="exact"/>
        <w:ind w:left="1230" w:hanging="1230"/>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spacing w:line="240" w:lineRule="exact"/>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①　本認定とは別に、金融機関及び信用保証協会による金融上の審査があります。</w:t>
      </w:r>
    </w:p>
    <w:p>
      <w:pPr>
        <w:pStyle w:val="0"/>
        <w:widowControl w:val="1"/>
        <w:spacing w:line="300" w:lineRule="exact"/>
        <w:ind w:left="540" w:hanging="540" w:hangingChars="257"/>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②　白子町長から認定を受けた後、本認定の有効期間内に金融機関又は信用保証協会に対して、経営安定関連保証の申込みを行うことが必要です。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jc w:val="left"/>
        <w:textAlignment w:val="baseline"/>
        <w:rPr>
          <w:rFonts w:hint="default" w:ascii="ＭＳ 明朝" w:hAnsi="ＭＳ 明朝"/>
          <w:color w:val="000000"/>
          <w:kern w:val="0"/>
        </w:rPr>
      </w:pPr>
      <w:r>
        <w:rPr>
          <w:rFonts w:hint="eastAsia" w:ascii="ＭＳ 明朝" w:hAnsi="ＭＳ 明朝" w:eastAsia="ＭＳ 明朝"/>
          <w:color w:val="000000"/>
          <w:kern w:val="0"/>
        </w:rPr>
        <w:t>白商</w:t>
      </w:r>
      <w:r>
        <w:rPr>
          <w:rFonts w:hint="eastAsia" w:ascii="ＭＳ 明朝" w:hAnsi="ＭＳ 明朝"/>
          <w:color w:val="000000"/>
          <w:kern w:val="0"/>
        </w:rPr>
        <w:t>第　　　　　号</w:t>
      </w:r>
    </w:p>
    <w:p>
      <w:pPr>
        <w:pStyle w:val="0"/>
        <w:suppressAutoHyphens w:val="1"/>
        <w:wordWrap w:val="0"/>
        <w:spacing w:line="240" w:lineRule="exact"/>
        <w:ind w:left="492" w:hanging="492"/>
        <w:jc w:val="left"/>
        <w:textAlignment w:val="baseline"/>
        <w:rPr>
          <w:rFonts w:hint="default" w:ascii="ＭＳ 明朝" w:hAnsi="ＭＳ 明朝"/>
          <w:color w:val="000000"/>
          <w:kern w:val="0"/>
        </w:rPr>
      </w:pPr>
      <w:r>
        <w:rPr>
          <w:rFonts w:hint="eastAsia" w:ascii="ＭＳ 明朝" w:hAnsi="ＭＳ 明朝"/>
          <w:color w:val="000000"/>
          <w:kern w:val="0"/>
        </w:rPr>
        <w:t>令和　　　年　　　月　　　日</w:t>
      </w:r>
    </w:p>
    <w:p>
      <w:pPr>
        <w:pStyle w:val="0"/>
        <w:suppressAutoHyphens w:val="1"/>
        <w:wordWrap w:val="0"/>
        <w:spacing w:line="240" w:lineRule="exact"/>
        <w:ind w:left="492" w:hanging="492"/>
        <w:jc w:val="left"/>
        <w:textAlignment w:val="baseline"/>
        <w:rPr>
          <w:rFonts w:hint="default" w:ascii="ＭＳ 明朝" w:hAnsi="ＭＳ 明朝"/>
          <w:color w:val="000000"/>
          <w:kern w:val="0"/>
        </w:rPr>
      </w:pPr>
      <w:r>
        <w:rPr>
          <w:rFonts w:hint="eastAsia" w:ascii="ＭＳ 明朝" w:hAnsi="ＭＳ 明朝"/>
          <w:color w:val="000000"/>
          <w:kern w:val="0"/>
        </w:rPr>
        <w:t>　　申請のとおり、相違ないことを認定します。</w:t>
      </w:r>
    </w:p>
    <w:p>
      <w:pPr>
        <w:pStyle w:val="0"/>
        <w:suppressAutoHyphens w:val="1"/>
        <w:wordWrap w:val="0"/>
        <w:spacing w:line="240" w:lineRule="exact"/>
        <w:ind w:left="492" w:hanging="492"/>
        <w:jc w:val="left"/>
        <w:textAlignment w:val="baseline"/>
        <w:rPr>
          <w:rFonts w:hint="default" w:ascii="ＭＳ 明朝" w:hAnsi="ＭＳ 明朝"/>
          <w:color w:val="000000"/>
          <w:kern w:val="0"/>
        </w:rPr>
      </w:pPr>
      <w:r>
        <w:rPr>
          <w:rFonts w:hint="eastAsia" w:ascii="ＭＳ 明朝" w:hAnsi="ＭＳ 明朝"/>
          <w:color w:val="000000"/>
          <w:kern w:val="0"/>
        </w:rPr>
        <w:t>（注）本認定書の有効期間：令和　　　年　　　月　　　日から令和　　　年　　　月　　　日まで</w:t>
      </w:r>
    </w:p>
    <w:p>
      <w:pPr>
        <w:pStyle w:val="0"/>
        <w:suppressAutoHyphens w:val="1"/>
        <w:wordWrap w:val="0"/>
        <w:spacing w:line="240" w:lineRule="exact"/>
        <w:ind w:left="492" w:hanging="492"/>
        <w:jc w:val="left"/>
        <w:textAlignment w:val="baseline"/>
        <w:rPr>
          <w:rFonts w:hint="default" w:ascii="ＭＳ 明朝" w:hAnsi="ＭＳ 明朝"/>
          <w:color w:val="000000"/>
          <w:kern w:val="0"/>
        </w:rPr>
      </w:pPr>
    </w:p>
    <w:p>
      <w:pPr>
        <w:pStyle w:val="0"/>
        <w:widowControl w:val="1"/>
        <w:spacing w:line="300" w:lineRule="exact"/>
        <w:ind w:left="540" w:leftChars="257" w:firstLine="5460" w:firstLineChars="2600"/>
        <w:jc w:val="left"/>
        <w:rPr>
          <w:rFonts w:hint="eastAsia" w:asciiTheme="minorEastAsia" w:hAnsiTheme="minorEastAsia" w:eastAsiaTheme="minorEastAsia"/>
          <w:color w:val="000000"/>
          <w:kern w:val="0"/>
        </w:rPr>
      </w:pPr>
      <w:r>
        <w:rPr>
          <w:rFonts w:hint="eastAsia" w:ascii="ＭＳ 明朝" w:hAnsi="ＭＳ 明朝" w:eastAsia="ＭＳ 明朝"/>
          <w:color w:val="000000"/>
          <w:kern w:val="0"/>
        </w:rPr>
        <w:t>白子町</w:t>
      </w:r>
      <w:r>
        <w:rPr>
          <w:rFonts w:hint="eastAsia" w:ascii="ＭＳ 明朝" w:hAnsi="ＭＳ 明朝"/>
          <w:color w:val="000000"/>
          <w:kern w:val="0"/>
        </w:rPr>
        <w:t>長　　　　　　　　　　　　印</w:t>
      </w:r>
    </w:p>
    <w:sectPr>
      <w:pgSz w:w="11906" w:h="16838"/>
      <w:pgMar w:top="851"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color w:val="000000"/>
      <w:kern w:val="0"/>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pPr>
      <w:jc w:val="right"/>
    </w:pPr>
    <w:rPr>
      <w:rFonts w:ascii="ＭＳ ゴシック" w:hAnsi="ＭＳ ゴシック" w:eastAsia="ＭＳ ゴシック"/>
      <w:color w:val="000000"/>
      <w:kern w:val="0"/>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304</Words>
  <Characters>1735</Characters>
  <Application>JUST Note</Application>
  <Lines>14</Lines>
  <Paragraphs>4</Paragraphs>
  <CharactersWithSpaces>2035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桑原渉</dc:creator>
  <cp:lastModifiedBy>t.kajiro</cp:lastModifiedBy>
  <dcterms:created xsi:type="dcterms:W3CDTF">2020-04-16T10:28:00Z</dcterms:created>
  <dcterms:modified xsi:type="dcterms:W3CDTF">2020-06-26T00:49:36Z</dcterms:modified>
  <cp:revision>3</cp:revision>
</cp:coreProperties>
</file>