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kinsoku w:val="0"/>
        <w:autoSpaceDE w:val="0"/>
        <w:autoSpaceDN w:val="0"/>
        <w:spacing w:line="366" w:lineRule="atLeast"/>
        <w:ind w:right="484"/>
        <w:rPr>
          <w:rFonts w:hint="default" w:ascii="ＭＳ ゴシック" w:hAnsi="ＭＳ ゴシック" w:eastAsia="ＭＳ ゴシック"/>
          <w:sz w:val="24"/>
        </w:rPr>
      </w:pPr>
      <w:bookmarkStart w:id="0" w:name="_GoBack"/>
      <w:bookmarkEnd w:id="0"/>
    </w:p>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2"/>
        <w:gridCol w:w="3224"/>
        <w:gridCol w:w="3868"/>
      </w:tblGrid>
      <w:tr>
        <w:trPr>
          <w:trHeight w:val="398" w:hRule="atLeast"/>
        </w:trPr>
        <w:tc>
          <w:tcPr>
            <w:tcW w:w="1031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認定権者記載欄</w:t>
            </w:r>
          </w:p>
        </w:tc>
      </w:tr>
      <w:tr>
        <w:trPr>
          <w:trHeight w:val="53" w:hRule="atLeast"/>
        </w:trPr>
        <w:tc>
          <w:tcPr>
            <w:tcW w:w="322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322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386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r>
        <w:trPr>
          <w:trHeight w:val="206" w:hRule="atLeast"/>
        </w:trPr>
        <w:tc>
          <w:tcPr>
            <w:tcW w:w="3222"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3224"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386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autoSpaceDE w:val="0"/>
        <w:autoSpaceDN w:val="0"/>
        <w:spacing w:line="240" w:lineRule="exac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様式第５－（ロ）－③</w:t>
      </w:r>
    </w:p>
    <w:tbl>
      <w:tblPr>
        <w:tblStyle w:val="11"/>
        <w:tblW w:w="10318"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18"/>
      </w:tblGrid>
      <w:tr>
        <w:trPr/>
        <w:tc>
          <w:tcPr>
            <w:tcW w:w="10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b w:val="1"/>
                <w:color w:val="000000"/>
                <w:kern w:val="0"/>
              </w:rPr>
              <w:t>中小企業信用保険法第２条第５項第５号の規定による認定申請書（ロ－③）</w:t>
            </w:r>
          </w:p>
          <w:p>
            <w:pPr>
              <w:pStyle w:val="0"/>
              <w:suppressAutoHyphens w:val="1"/>
              <w:kinsoku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白子町長</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ind w:right="876" w:rightChars="417"/>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17"/>
              <w:spacing w:line="240" w:lineRule="exact"/>
              <w:jc w:val="left"/>
              <w:rPr>
                <w:rFonts w:hint="default"/>
              </w:rPr>
            </w:pPr>
            <w:r>
              <w:rPr>
                <w:rFonts w:hint="eastAsia"/>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7"/>
              <w:gridCol w:w="3533"/>
              <w:gridCol w:w="3260"/>
            </w:tblGrid>
            <w:tr>
              <w:trPr>
                <w:trHeight w:val="327" w:hRule="atLeast"/>
              </w:trPr>
              <w:tc>
                <w:tcPr>
                  <w:tcW w:w="316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533"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26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41" w:hRule="atLeast"/>
              </w:trPr>
              <w:tc>
                <w:tcPr>
                  <w:tcW w:w="3167"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533"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26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※表には、指定業種であって、原油等の価格の上昇を製品等の価格に転嫁できていない事業が属する業種</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日本標準産業分類の細分類番号と細分類業種名</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を記載。当該指定業種が複数ある場合には、その中で、最近１年間で最も売上高等が大きい事業が属する指定業種を左上の太枠に記載。</w:t>
            </w:r>
          </w:p>
          <w:p>
            <w:pPr>
              <w:pStyle w:val="15"/>
              <w:spacing w:line="240" w:lineRule="exact"/>
              <w:rPr>
                <w:rFonts w:hint="default"/>
              </w:rPr>
            </w:pPr>
            <w:r>
              <w:rPr>
                <w:rFonts w:hint="eastAsia"/>
              </w:rPr>
              <w:t>記</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①上記の表に記載した指定業種（以下同じ。）に係る原油等の仕入単価の上昇（注２）</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上昇率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Ｅ：指定業種に係る原油等の最近１か月間における平均仕入れ単価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ｅ：指定業種に係るＥの期間に対応する前年１か月間の平均仕入れ単価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②全体の売上原価のうち指定業種に係る原油等の仕入価格が占める割合（注２）</w:t>
            </w:r>
          </w:p>
          <w:p>
            <w:pPr>
              <w:pStyle w:val="0"/>
              <w:suppressAutoHyphens w:val="1"/>
              <w:kinsoku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Ｓ</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Ｃ：申込時点における最新の全体の売上原価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Ｓ：Ｃの売上原価に対応する指定業種に係る原油等の仕入価格</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③－１　指定業種に係る製品等価格への転嫁の状況（注３）</w:t>
            </w:r>
          </w:p>
          <w:p>
            <w:pPr>
              <w:pStyle w:val="0"/>
              <w:suppressAutoHyphens w:val="1"/>
              <w:kinsoku w:val="0"/>
              <w:overflowPunct w:val="0"/>
              <w:autoSpaceDE w:val="0"/>
              <w:autoSpaceDN w:val="0"/>
              <w:adjustRightInd w:val="0"/>
              <w:spacing w:line="24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4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Ｂ１：申込時点における最近３か月間の指定業種に係る売上高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ｂ１：Ｂ１の期間に対応する前年３か月間の指定業種に係る売上高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③－２　全体に係る製品等価格への転嫁の状況（注３）</w:t>
            </w:r>
          </w:p>
          <w:p>
            <w:pPr>
              <w:pStyle w:val="0"/>
              <w:suppressAutoHyphens w:val="1"/>
              <w:kinsoku w:val="0"/>
              <w:overflowPunct w:val="0"/>
              <w:autoSpaceDE w:val="0"/>
              <w:autoSpaceDN w:val="0"/>
              <w:adjustRightInd w:val="0"/>
              <w:spacing w:line="24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4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Ｐ２＝</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Ｂ２：申込時点における最近３か月間の全体の売上高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ｂ２：Ｂ２の期間に対応する前年３か月間の全体の売上高</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widowControl w:val="1"/>
        <w:jc w:val="left"/>
        <w:rPr>
          <w:rFonts w:hint="default" w:ascii="ＭＳ ゴシック" w:hAnsi="ＭＳ ゴシック" w:eastAsia="ＭＳ ゴシック"/>
          <w:color w:val="000000"/>
          <w:kern w:val="0"/>
          <w:sz w:val="24"/>
        </w:rPr>
      </w:pPr>
      <w:r>
        <w:rPr>
          <w:rFonts w:hint="default" w:ascii="ＭＳ ゴシック" w:hAnsi="ＭＳ ゴシック" w:eastAsia="ＭＳ ゴシック"/>
          <w:color w:val="000000"/>
          <w:spacing w:val="16"/>
          <w:kern w:val="0"/>
        </w:rPr>
        <mc:AlternateContent>
          <mc:Choice Requires="wps">
            <w:drawing>
              <wp:anchor distT="0" distB="0" distL="114300" distR="114300" simplePos="0" relativeHeight="2" behindDoc="0" locked="0" layoutInCell="1" hidden="0" allowOverlap="1">
                <wp:simplePos x="0" y="0"/>
                <wp:positionH relativeFrom="column">
                  <wp:posOffset>-76835</wp:posOffset>
                </wp:positionH>
                <wp:positionV relativeFrom="paragraph">
                  <wp:posOffset>19685</wp:posOffset>
                </wp:positionV>
                <wp:extent cx="6557645" cy="212979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6557645" cy="2129790"/>
                        </a:xfrm>
                        <a:prstGeom prst="rect">
                          <a:avLst/>
                        </a:prstGeom>
                        <a:noFill/>
                        <a:ln>
                          <a:noFill/>
                        </a:ln>
                      </wps:spPr>
                      <wps:txbx>
                        <w:txbxContent>
                          <w:p>
                            <w:pPr>
                              <w:pStyle w:val="0"/>
                              <w:suppressAutoHyphens w:val="1"/>
                              <w:spacing w:line="240" w:lineRule="exact"/>
                              <w:ind w:left="738" w:hanging="738"/>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40" w:lineRule="exact"/>
                              <w:ind w:left="738" w:hanging="738"/>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（注２）上昇率及び依存率が２０％以上となっていること。</w:t>
                            </w:r>
                          </w:p>
                          <w:p>
                            <w:pPr>
                              <w:pStyle w:val="0"/>
                              <w:suppressAutoHyphens w:val="1"/>
                              <w:spacing w:line="240" w:lineRule="exact"/>
                              <w:ind w:left="738" w:hanging="738"/>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（注３）Ｐ１＞０、かつ、Ｐ２＞０となっていること。</w:t>
                            </w:r>
                          </w:p>
                          <w:p>
                            <w:pPr>
                              <w:pStyle w:val="0"/>
                              <w:suppressAutoHyphens w:val="1"/>
                              <w:spacing w:line="240" w:lineRule="exact"/>
                              <w:ind w:left="1230" w:hanging="1230"/>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（留意事項）</w:t>
                            </w:r>
                          </w:p>
                          <w:p>
                            <w:pPr>
                              <w:pStyle w:val="0"/>
                              <w:suppressAutoHyphens w:val="1"/>
                              <w:spacing w:line="240" w:lineRule="exact"/>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①　本認定とは別に、金融機関及び信用保証協会による金融上の審査があります。</w:t>
                            </w:r>
                          </w:p>
                          <w:p>
                            <w:pPr>
                              <w:pStyle w:val="0"/>
                              <w:suppressAutoHyphens w:val="1"/>
                              <w:kinsoku w:val="0"/>
                              <w:autoSpaceDE w:val="0"/>
                              <w:autoSpaceDN w:val="0"/>
                              <w:spacing w:line="240" w:lineRule="exact"/>
                              <w:ind w:left="561" w:hanging="561" w:hangingChars="267"/>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②　白子町長から認定を受けた後、本認定の有効期間内に金融機関又は信用保証協会に対して、経営安定関連保証の申込みを行うことが必要です。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白商第　　　　　号</w:t>
                            </w:r>
                          </w:p>
                          <w:p>
                            <w:pPr>
                              <w:pStyle w:val="0"/>
                              <w:suppressAutoHyphens w:val="1"/>
                              <w:wordWrap w:val="0"/>
                              <w:spacing w:line="240" w:lineRule="exact"/>
                              <w:ind w:left="492" w:hanging="492"/>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令和　　　年　　　月　　　日</w:t>
                            </w:r>
                          </w:p>
                          <w:p>
                            <w:pPr>
                              <w:pStyle w:val="0"/>
                              <w:suppressAutoHyphens w:val="1"/>
                              <w:wordWrap w:val="0"/>
                              <w:spacing w:line="240" w:lineRule="exact"/>
                              <w:ind w:left="492" w:hanging="492"/>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申請のとおり、相違ないことを認定します。</w:t>
                            </w:r>
                          </w:p>
                          <w:p>
                            <w:pPr>
                              <w:pStyle w:val="0"/>
                              <w:suppressAutoHyphens w:val="1"/>
                              <w:wordWrap w:val="0"/>
                              <w:spacing w:line="240" w:lineRule="exact"/>
                              <w:ind w:left="492" w:hanging="492"/>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（注）　本認定書の有効期間：令和　　　年　　　月　　　日から令和　　　年　　　月　　　日まで</w:t>
                            </w:r>
                          </w:p>
                          <w:p>
                            <w:pPr>
                              <w:pStyle w:val="0"/>
                              <w:suppressAutoHyphens w:val="1"/>
                              <w:wordWrap w:val="0"/>
                              <w:ind w:firstLine="5880" w:firstLineChars="2800"/>
                              <w:jc w:val="left"/>
                              <w:textAlignment w:val="baseline"/>
                              <w:rPr>
                                <w:rFonts w:hint="default" w:ascii="ＭＳ ゴシック" w:hAnsi="ＭＳ ゴシック" w:eastAsia="ＭＳ ゴシック"/>
                                <w:color w:val="000000"/>
                                <w:spacing w:val="16"/>
                                <w:kern w:val="0"/>
                              </w:rPr>
                            </w:pPr>
                            <w:r>
                              <w:rPr>
                                <w:rFonts w:hint="eastAsia" w:ascii="ＭＳ 明朝" w:hAnsi="ＭＳ 明朝" w:eastAsia="ＭＳ 明朝"/>
                                <w:color w:val="000000"/>
                                <w:kern w:val="0"/>
                              </w:rPr>
                              <w:t>白子町</w:t>
                            </w:r>
                            <w:r>
                              <w:rPr>
                                <w:rFonts w:hint="eastAsia" w:ascii="ＭＳ 明朝" w:hAnsi="ＭＳ 明朝"/>
                                <w:color w:val="000000"/>
                                <w:kern w:val="0"/>
                              </w:rPr>
                              <w:t>長</w:t>
                            </w:r>
                            <w:r>
                              <w:rPr>
                                <w:rFonts w:hint="default" w:ascii="ＭＳ 明朝" w:hAnsi="ＭＳ 明朝"/>
                                <w:color w:val="000000"/>
                                <w:kern w:val="0"/>
                              </w:rPr>
                              <w:t>　　　　　　　　　　　　</w:t>
                            </w:r>
                            <w:r>
                              <w:rPr>
                                <w:rFonts w:hint="eastAsia" w:ascii="ＭＳ 明朝" w:hAnsi="ＭＳ 明朝"/>
                                <w:color w:val="000000"/>
                                <w:kern w:val="0"/>
                              </w:rPr>
                              <w:t>　　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v-text-anchor:top;mso-wrap-distance-top:0pt;mso-wrap-distance-right:9pt;mso-wrap-distance-left:9pt;mso-wrap-distance-bottom:0pt;margin-top:1.55pt;margin-left:-6.05pt;mso-position-horizontal-relative:text;mso-position-vertical-relative:text;position:absolute;height:167.7pt;width:516.35pt;z-index:2;" o:spid="_x0000_s1026" o:allowincell="t" o:allowoverlap="t" filled="f" stroked="f" o:spt="202" type="#_x0000_t202">
                <v:fill/>
                <v:textbox style="layout-flow:horizontal;" inset="2.5399999999999996mm,1.2699999999999998mm,2.5399999999999996mm,1.2699999999999998mm">
                  <w:txbxContent>
                    <w:p>
                      <w:pPr>
                        <w:pStyle w:val="0"/>
                        <w:suppressAutoHyphens w:val="1"/>
                        <w:spacing w:line="240" w:lineRule="exact"/>
                        <w:ind w:left="738" w:hanging="738"/>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40" w:lineRule="exact"/>
                        <w:ind w:left="738" w:hanging="738"/>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（注２）上昇率及び依存率が２０％以上となっていること。</w:t>
                      </w:r>
                    </w:p>
                    <w:p>
                      <w:pPr>
                        <w:pStyle w:val="0"/>
                        <w:suppressAutoHyphens w:val="1"/>
                        <w:spacing w:line="240" w:lineRule="exact"/>
                        <w:ind w:left="738" w:hanging="738"/>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（注３）Ｐ１＞０、かつ、Ｐ２＞０となっていること。</w:t>
                      </w:r>
                    </w:p>
                    <w:p>
                      <w:pPr>
                        <w:pStyle w:val="0"/>
                        <w:suppressAutoHyphens w:val="1"/>
                        <w:spacing w:line="240" w:lineRule="exact"/>
                        <w:ind w:left="1230" w:hanging="1230"/>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（留意事項）</w:t>
                      </w:r>
                    </w:p>
                    <w:p>
                      <w:pPr>
                        <w:pStyle w:val="0"/>
                        <w:suppressAutoHyphens w:val="1"/>
                        <w:spacing w:line="240" w:lineRule="exact"/>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①　本認定とは別に、金融機関及び信用保証協会による金融上の審査があります。</w:t>
                      </w:r>
                    </w:p>
                    <w:p>
                      <w:pPr>
                        <w:pStyle w:val="0"/>
                        <w:suppressAutoHyphens w:val="1"/>
                        <w:kinsoku w:val="0"/>
                        <w:autoSpaceDE w:val="0"/>
                        <w:autoSpaceDN w:val="0"/>
                        <w:spacing w:line="240" w:lineRule="exact"/>
                        <w:ind w:left="561" w:hanging="561" w:hangingChars="267"/>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②　白子町長から認定を受けた後、本認定の有効期間内に金融機関又は信用保証協会に対して、経営安定関連保証の申込みを行うことが必要です。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白商第　　　　　号</w:t>
                      </w:r>
                    </w:p>
                    <w:p>
                      <w:pPr>
                        <w:pStyle w:val="0"/>
                        <w:suppressAutoHyphens w:val="1"/>
                        <w:wordWrap w:val="0"/>
                        <w:spacing w:line="240" w:lineRule="exact"/>
                        <w:ind w:left="492" w:hanging="492"/>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令和　　　年　　　月　　　日</w:t>
                      </w:r>
                    </w:p>
                    <w:p>
                      <w:pPr>
                        <w:pStyle w:val="0"/>
                        <w:suppressAutoHyphens w:val="1"/>
                        <w:wordWrap w:val="0"/>
                        <w:spacing w:line="240" w:lineRule="exact"/>
                        <w:ind w:left="492" w:hanging="492"/>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申請のとおり、相違ないことを認定します。</w:t>
                      </w:r>
                    </w:p>
                    <w:p>
                      <w:pPr>
                        <w:pStyle w:val="0"/>
                        <w:suppressAutoHyphens w:val="1"/>
                        <w:wordWrap w:val="0"/>
                        <w:spacing w:line="240" w:lineRule="exact"/>
                        <w:ind w:left="492" w:hanging="492"/>
                        <w:jc w:val="left"/>
                        <w:textAlignment w:val="baselin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（注）　本認定書の有効期間：令和　　　年　　　月　　　日から令和　　　年　　　月　　　日まで</w:t>
                      </w:r>
                    </w:p>
                    <w:p>
                      <w:pPr>
                        <w:pStyle w:val="0"/>
                        <w:suppressAutoHyphens w:val="1"/>
                        <w:wordWrap w:val="0"/>
                        <w:ind w:firstLine="5880" w:firstLineChars="2800"/>
                        <w:jc w:val="left"/>
                        <w:textAlignment w:val="baseline"/>
                        <w:rPr>
                          <w:rFonts w:hint="default" w:ascii="ＭＳ ゴシック" w:hAnsi="ＭＳ ゴシック" w:eastAsia="ＭＳ ゴシック"/>
                          <w:color w:val="000000"/>
                          <w:spacing w:val="16"/>
                          <w:kern w:val="0"/>
                        </w:rPr>
                      </w:pPr>
                      <w:r>
                        <w:rPr>
                          <w:rFonts w:hint="eastAsia" w:ascii="ＭＳ 明朝" w:hAnsi="ＭＳ 明朝" w:eastAsia="ＭＳ 明朝"/>
                          <w:color w:val="000000"/>
                          <w:kern w:val="0"/>
                        </w:rPr>
                        <w:t>白子町</w:t>
                      </w:r>
                      <w:r>
                        <w:rPr>
                          <w:rFonts w:hint="eastAsia" w:ascii="ＭＳ 明朝" w:hAnsi="ＭＳ 明朝"/>
                          <w:color w:val="000000"/>
                          <w:kern w:val="0"/>
                        </w:rPr>
                        <w:t>長</w:t>
                      </w:r>
                      <w:r>
                        <w:rPr>
                          <w:rFonts w:hint="default" w:ascii="ＭＳ 明朝" w:hAnsi="ＭＳ 明朝"/>
                          <w:color w:val="000000"/>
                          <w:kern w:val="0"/>
                        </w:rPr>
                        <w:t>　　　　　　　　　　　　</w:t>
                      </w:r>
                      <w:r>
                        <w:rPr>
                          <w:rFonts w:hint="eastAsia" w:ascii="ＭＳ 明朝" w:hAnsi="ＭＳ 明朝"/>
                          <w:color w:val="000000"/>
                          <w:kern w:val="0"/>
                        </w:rPr>
                        <w:t>　　印</w:t>
                      </w:r>
                    </w:p>
                  </w:txbxContent>
                </v:textbox>
                <v:imagedata o:title=""/>
                <w10:wrap type="none" anchorx="text" anchory="text"/>
              </v:shape>
            </w:pict>
          </mc:Fallback>
        </mc:AlternateContent>
      </w:r>
    </w:p>
    <w:p>
      <w:pPr>
        <w:pStyle w:val="0"/>
        <w:widowControl w:val="1"/>
        <w:jc w:val="left"/>
        <w:rPr>
          <w:rFonts w:hint="default" w:ascii="ＭＳ ゴシック" w:hAnsi="ＭＳ ゴシック" w:eastAsia="ＭＳ ゴシック"/>
          <w:color w:val="000000"/>
          <w:kern w:val="0"/>
          <w:sz w:val="24"/>
        </w:rPr>
      </w:pPr>
    </w:p>
    <w:sectPr>
      <w:pgSz w:w="11906" w:h="16838"/>
      <w:pgMar w:top="851"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ゴシック" w:hAnsi="ＭＳ ゴシック" w:eastAsia="ＭＳ ゴシック"/>
      <w:color w:val="000000"/>
      <w:kern w:val="0"/>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pPr>
      <w:jc w:val="right"/>
    </w:pPr>
    <w:rPr>
      <w:rFonts w:ascii="ＭＳ ゴシック" w:hAnsi="ＭＳ ゴシック" w:eastAsia="ＭＳ ゴシック"/>
      <w:color w:val="000000"/>
      <w:kern w:val="0"/>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256</Words>
  <Characters>1465</Characters>
  <Application>JUST Note</Application>
  <Lines>12</Lines>
  <Paragraphs>3</Paragraphs>
  <CharactersWithSpaces>1718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桑原渉</dc:creator>
  <cp:lastModifiedBy>t.kajiro</cp:lastModifiedBy>
  <dcterms:created xsi:type="dcterms:W3CDTF">2020-04-16T10:28:00Z</dcterms:created>
  <dcterms:modified xsi:type="dcterms:W3CDTF">2020-06-26T00:40:41Z</dcterms:modified>
  <cp:revision>2</cp:revision>
</cp:coreProperties>
</file>